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1229" w14:textId="77777777" w:rsidR="00D501EA" w:rsidRDefault="00D501EA" w:rsidP="00D501EA">
      <w:pPr>
        <w:jc w:val="center"/>
        <w:rPr>
          <w:sz w:val="28"/>
          <w:szCs w:val="28"/>
        </w:rPr>
      </w:pPr>
      <w:r>
        <w:rPr>
          <w:noProof/>
          <w:sz w:val="28"/>
          <w:szCs w:val="28"/>
        </w:rPr>
        <w:drawing>
          <wp:inline distT="0" distB="0" distL="0" distR="0" wp14:anchorId="4B7EE90D" wp14:editId="5CCD27F0">
            <wp:extent cx="5612130" cy="1123950"/>
            <wp:effectExtent l="0" t="0" r="7620" b="0"/>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12130" cy="1123950"/>
                    </a:xfrm>
                    <a:prstGeom prst="rect">
                      <a:avLst/>
                    </a:prstGeom>
                  </pic:spPr>
                </pic:pic>
              </a:graphicData>
            </a:graphic>
          </wp:inline>
        </w:drawing>
      </w:r>
    </w:p>
    <w:p w14:paraId="284AC915" w14:textId="0AA78285" w:rsidR="00B9564B" w:rsidRDefault="00D501EA" w:rsidP="00D501EA">
      <w:pPr>
        <w:jc w:val="center"/>
        <w:rPr>
          <w:sz w:val="28"/>
          <w:szCs w:val="28"/>
        </w:rPr>
      </w:pPr>
      <w:r>
        <w:rPr>
          <w:noProof/>
          <w:sz w:val="28"/>
          <w:szCs w:val="28"/>
        </w:rPr>
        <w:drawing>
          <wp:inline distT="0" distB="0" distL="0" distR="0" wp14:anchorId="29165C0C" wp14:editId="3AC36B99">
            <wp:extent cx="5612130" cy="1495425"/>
            <wp:effectExtent l="0" t="0" r="7620" b="9525"/>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5612130" cy="1495425"/>
                    </a:xfrm>
                    <a:prstGeom prst="rect">
                      <a:avLst/>
                    </a:prstGeom>
                  </pic:spPr>
                </pic:pic>
              </a:graphicData>
            </a:graphic>
          </wp:inline>
        </w:drawing>
      </w:r>
      <w:r>
        <w:rPr>
          <w:noProof/>
          <w:sz w:val="28"/>
          <w:szCs w:val="28"/>
        </w:rPr>
        <w:drawing>
          <wp:inline distT="0" distB="0" distL="0" distR="0" wp14:anchorId="5746D68C" wp14:editId="48BF520B">
            <wp:extent cx="6181725" cy="3162069"/>
            <wp:effectExtent l="0" t="0" r="0" b="635"/>
            <wp:docPr id="3" name="Imagen 3"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6216471" cy="3179842"/>
                    </a:xfrm>
                    <a:prstGeom prst="rect">
                      <a:avLst/>
                    </a:prstGeom>
                  </pic:spPr>
                </pic:pic>
              </a:graphicData>
            </a:graphic>
          </wp:inline>
        </w:drawing>
      </w:r>
    </w:p>
    <w:p w14:paraId="26DB130A" w14:textId="3EBDF502" w:rsidR="00B1298F" w:rsidRPr="00D501EA" w:rsidRDefault="00D501EA" w:rsidP="00D501EA">
      <w:pPr>
        <w:spacing w:before="120" w:after="240" w:line="360" w:lineRule="auto"/>
        <w:jc w:val="both"/>
        <w:rPr>
          <w:rFonts w:ascii="Bookman Old Style" w:hAnsi="Bookman Old Style"/>
          <w:b/>
          <w:bCs/>
          <w:sz w:val="28"/>
          <w:szCs w:val="28"/>
        </w:rPr>
      </w:pPr>
      <w:r w:rsidRPr="00D501EA">
        <w:rPr>
          <w:rFonts w:ascii="Bookman Old Style" w:hAnsi="Bookman Old Style"/>
          <w:b/>
          <w:bCs/>
          <w:i/>
          <w:iCs/>
          <w:noProof/>
          <w:sz w:val="24"/>
          <w:szCs w:val="24"/>
        </w:rPr>
        <w:drawing>
          <wp:anchor distT="0" distB="0" distL="114300" distR="114300" simplePos="0" relativeHeight="251661312" behindDoc="1" locked="0" layoutInCell="1" allowOverlap="1" wp14:anchorId="2038AAF2" wp14:editId="50BC36C0">
            <wp:simplePos x="0" y="0"/>
            <wp:positionH relativeFrom="column">
              <wp:posOffset>5742940</wp:posOffset>
            </wp:positionH>
            <wp:positionV relativeFrom="paragraph">
              <wp:posOffset>1896110</wp:posOffset>
            </wp:positionV>
            <wp:extent cx="1118235" cy="1200150"/>
            <wp:effectExtent l="0" t="0" r="5715" b="0"/>
            <wp:wrapSquare wrapText="bothSides"/>
            <wp:docPr id="4" name="Imagen 4" descr="Foto en blanco y negro de un hombre con lentes y traje sonrie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Foto en blanco y negro de un hombre con lentes y traje sonriendo&#10;&#10;Descripción generada automáticamente"/>
                    <pic:cNvPicPr/>
                  </pic:nvPicPr>
                  <pic:blipFill>
                    <a:blip r:embed="rId7">
                      <a:extLst>
                        <a:ext uri="{28A0092B-C50C-407E-A947-70E740481C1C}">
                          <a14:useLocalDpi xmlns:a14="http://schemas.microsoft.com/office/drawing/2010/main" val="0"/>
                        </a:ext>
                      </a:extLst>
                    </a:blip>
                    <a:stretch>
                      <a:fillRect/>
                    </a:stretch>
                  </pic:blipFill>
                  <pic:spPr>
                    <a:xfrm>
                      <a:off x="0" y="0"/>
                      <a:ext cx="1118235" cy="1200150"/>
                    </a:xfrm>
                    <a:prstGeom prst="rect">
                      <a:avLst/>
                    </a:prstGeom>
                  </pic:spPr>
                </pic:pic>
              </a:graphicData>
            </a:graphic>
            <wp14:sizeRelH relativeFrom="margin">
              <wp14:pctWidth>0</wp14:pctWidth>
            </wp14:sizeRelH>
            <wp14:sizeRelV relativeFrom="margin">
              <wp14:pctHeight>0</wp14:pctHeight>
            </wp14:sizeRelV>
          </wp:anchor>
        </w:drawing>
      </w:r>
      <w:r w:rsidR="00222DB5" w:rsidRPr="00D501EA">
        <w:rPr>
          <w:rFonts w:ascii="Bookman Old Style" w:hAnsi="Bookman Old Style"/>
          <w:b/>
          <w:bCs/>
          <w:sz w:val="28"/>
          <w:szCs w:val="28"/>
        </w:rPr>
        <w:t>“</w:t>
      </w:r>
      <w:r w:rsidR="00B1298F" w:rsidRPr="00D501EA">
        <w:rPr>
          <w:rFonts w:ascii="Bookman Old Style" w:hAnsi="Bookman Old Style"/>
          <w:b/>
          <w:bCs/>
          <w:sz w:val="28"/>
          <w:szCs w:val="28"/>
        </w:rPr>
        <w:t xml:space="preserve">Las Razones que explican que un verdadero royalty esté afecto a invariabilidad: La depredación y el saqueo de las riquezas naturales y esenciales en la Patria del general Libertador Bernardo O’Higgins Riquelme, del Toqui Lautaro y del Presidente Dr. Salvador Allende Gossens, por parte de los capitales buitres foráneos y sus cómplices la clase empresarial oligarca agrícola/citadina y la clase </w:t>
      </w:r>
      <w:proofErr w:type="spellStart"/>
      <w:r w:rsidR="00B1298F" w:rsidRPr="00D501EA">
        <w:rPr>
          <w:rFonts w:ascii="Bookman Old Style" w:hAnsi="Bookman Old Style"/>
          <w:b/>
          <w:bCs/>
          <w:sz w:val="28"/>
          <w:szCs w:val="28"/>
        </w:rPr>
        <w:t>politicastra</w:t>
      </w:r>
      <w:proofErr w:type="spellEnd"/>
      <w:r w:rsidR="00B1298F" w:rsidRPr="00D501EA">
        <w:rPr>
          <w:rFonts w:ascii="Bookman Old Style" w:hAnsi="Bookman Old Style"/>
          <w:b/>
          <w:bCs/>
          <w:sz w:val="28"/>
          <w:szCs w:val="28"/>
        </w:rPr>
        <w:t>/</w:t>
      </w:r>
      <w:r w:rsidRPr="00D501EA">
        <w:rPr>
          <w:rFonts w:ascii="Bookman Old Style" w:hAnsi="Bookman Old Style"/>
          <w:b/>
          <w:bCs/>
          <w:sz w:val="28"/>
          <w:szCs w:val="28"/>
        </w:rPr>
        <w:t>castrense</w:t>
      </w:r>
      <w:r>
        <w:rPr>
          <w:rFonts w:ascii="Bookman Old Style" w:hAnsi="Bookman Old Style"/>
          <w:b/>
          <w:bCs/>
          <w:sz w:val="28"/>
          <w:szCs w:val="28"/>
        </w:rPr>
        <w:t xml:space="preserve">s corruptas </w:t>
      </w:r>
      <w:r w:rsidR="00B1298F" w:rsidRPr="00D501EA">
        <w:rPr>
          <w:rFonts w:ascii="Bookman Old Style" w:hAnsi="Bookman Old Style"/>
          <w:b/>
          <w:bCs/>
          <w:sz w:val="28"/>
          <w:szCs w:val="28"/>
        </w:rPr>
        <w:t>/ apátridas.</w:t>
      </w:r>
      <w:r w:rsidR="00222DB5" w:rsidRPr="00D501EA">
        <w:rPr>
          <w:rFonts w:ascii="Bookman Old Style" w:hAnsi="Bookman Old Style"/>
          <w:b/>
          <w:bCs/>
          <w:sz w:val="28"/>
          <w:szCs w:val="28"/>
        </w:rPr>
        <w:t>”</w:t>
      </w:r>
    </w:p>
    <w:p w14:paraId="1F4F5A09" w14:textId="018D0336" w:rsidR="00D501EA" w:rsidRPr="00D501EA" w:rsidRDefault="00B1298F" w:rsidP="00D501EA">
      <w:pPr>
        <w:spacing w:before="120" w:after="240" w:line="360" w:lineRule="auto"/>
        <w:jc w:val="right"/>
        <w:rPr>
          <w:rFonts w:ascii="Bookman Old Style" w:hAnsi="Bookman Old Style"/>
          <w:b/>
          <w:bCs/>
          <w:i/>
          <w:iCs/>
          <w:sz w:val="24"/>
          <w:szCs w:val="24"/>
        </w:rPr>
      </w:pPr>
      <w:proofErr w:type="gramStart"/>
      <w:r w:rsidRPr="00D501EA">
        <w:rPr>
          <w:rFonts w:ascii="Bookman Old Style" w:hAnsi="Bookman Old Style"/>
          <w:b/>
          <w:bCs/>
          <w:i/>
          <w:iCs/>
          <w:sz w:val="24"/>
          <w:szCs w:val="24"/>
        </w:rPr>
        <w:t xml:space="preserve">Por  </w:t>
      </w:r>
      <w:r w:rsidR="00222DB5" w:rsidRPr="00D501EA">
        <w:rPr>
          <w:rFonts w:ascii="Bookman Old Style" w:hAnsi="Bookman Old Style"/>
          <w:b/>
          <w:bCs/>
          <w:i/>
          <w:iCs/>
          <w:sz w:val="24"/>
          <w:szCs w:val="24"/>
        </w:rPr>
        <w:t>Julián</w:t>
      </w:r>
      <w:proofErr w:type="gramEnd"/>
      <w:r w:rsidRPr="00D501EA">
        <w:rPr>
          <w:rFonts w:ascii="Bookman Old Style" w:hAnsi="Bookman Old Style"/>
          <w:b/>
          <w:bCs/>
          <w:i/>
          <w:iCs/>
          <w:sz w:val="24"/>
          <w:szCs w:val="24"/>
        </w:rPr>
        <w:t xml:space="preserve"> Alcayaga Olivares. </w:t>
      </w:r>
    </w:p>
    <w:p w14:paraId="3D762204" w14:textId="51D04A44" w:rsidR="00B1298F" w:rsidRPr="00D501EA" w:rsidRDefault="00B1298F" w:rsidP="00D501EA">
      <w:pPr>
        <w:spacing w:before="120" w:after="240" w:line="360" w:lineRule="auto"/>
        <w:jc w:val="right"/>
        <w:rPr>
          <w:rFonts w:ascii="Bookman Old Style" w:hAnsi="Bookman Old Style"/>
          <w:b/>
          <w:bCs/>
          <w:i/>
          <w:iCs/>
          <w:sz w:val="48"/>
          <w:szCs w:val="48"/>
        </w:rPr>
      </w:pPr>
      <w:r w:rsidRPr="00D501EA">
        <w:rPr>
          <w:rFonts w:ascii="Bookman Old Style" w:hAnsi="Bookman Old Style"/>
          <w:b/>
          <w:bCs/>
          <w:i/>
          <w:iCs/>
          <w:sz w:val="24"/>
          <w:szCs w:val="24"/>
        </w:rPr>
        <w:t xml:space="preserve">Ingeniero/Economista/Addhee.Ong. </w:t>
      </w:r>
    </w:p>
    <w:p w14:paraId="6F2CC266" w14:textId="40687D64" w:rsidR="00641D36" w:rsidRPr="00641D36" w:rsidRDefault="00641D36" w:rsidP="00D501EA">
      <w:pPr>
        <w:spacing w:before="120" w:after="240" w:line="360" w:lineRule="auto"/>
        <w:jc w:val="both"/>
        <w:rPr>
          <w:rFonts w:ascii="Bookman Old Style" w:hAnsi="Bookman Old Style"/>
        </w:rPr>
      </w:pPr>
      <w:r w:rsidRPr="00641D36">
        <w:rPr>
          <w:rFonts w:ascii="Bookman Old Style" w:hAnsi="Bookman Old Style"/>
        </w:rPr>
        <w:t xml:space="preserve">Antes de la Ley 20.026, que creó el Impuesto Específico a la Minería (IEM) que conocemos como royalty, las empresas mineras gozaban de una amplia invariabilidad tributaria que les otorgaba el artículo 11bis del DL 600, </w:t>
      </w:r>
      <w:proofErr w:type="gramStart"/>
      <w:r w:rsidRPr="00641D36">
        <w:rPr>
          <w:rFonts w:ascii="Bookman Old Style" w:hAnsi="Bookman Old Style"/>
        </w:rPr>
        <w:t>y</w:t>
      </w:r>
      <w:proofErr w:type="gramEnd"/>
      <w:r w:rsidRPr="00641D36">
        <w:rPr>
          <w:rFonts w:ascii="Bookman Old Style" w:hAnsi="Bookman Old Style"/>
        </w:rPr>
        <w:t xml:space="preserve"> por lo tanto, no se les podía aplicar este nuevo impuesto, a menos que estas empresas renunciaran voluntariamente a dicha invariabilidad. Todas las empresas mineras renunciaron a esa invariabilidad, pero no fue por altruismo sino porque les resultaría más beneficioso.</w:t>
      </w:r>
    </w:p>
    <w:p w14:paraId="790194CC" w14:textId="0D1927F7" w:rsidR="00641D36" w:rsidRPr="00641D36" w:rsidRDefault="00641D36" w:rsidP="00D501EA">
      <w:pPr>
        <w:spacing w:before="120" w:after="240" w:line="360" w:lineRule="auto"/>
        <w:jc w:val="both"/>
        <w:rPr>
          <w:rFonts w:ascii="Bookman Old Style" w:hAnsi="Bookman Old Style"/>
        </w:rPr>
      </w:pPr>
      <w:r w:rsidRPr="00641D36">
        <w:rPr>
          <w:rFonts w:ascii="Bookman Old Style" w:hAnsi="Bookman Old Style"/>
        </w:rPr>
        <w:t>Veamos por qué. Con la invariabilidad tributaria, el impuesto adicional a la renta de las empresas o inversores extranjeros que establecía el artículo 11 bis del DL 600 era de 42 %. Al renunciar a la invariabilidad del 11 bis del DL 600, quedaban sometidos al Impuesto Adicional general de la Ley de la Renta que era y es actualmente de solo 35 %. Es decir</w:t>
      </w:r>
      <w:r>
        <w:rPr>
          <w:rFonts w:ascii="Bookman Old Style" w:hAnsi="Bookman Old Style"/>
        </w:rPr>
        <w:t>,</w:t>
      </w:r>
      <w:r w:rsidRPr="00641D36">
        <w:rPr>
          <w:rFonts w:ascii="Bookman Old Style" w:hAnsi="Bookman Old Style"/>
        </w:rPr>
        <w:t xml:space="preserve"> bajaban su tributación a la renta en 7%.</w:t>
      </w:r>
      <w:r>
        <w:rPr>
          <w:rFonts w:ascii="Bookman Old Style" w:hAnsi="Bookman Old Style"/>
        </w:rPr>
        <w:t xml:space="preserve"> </w:t>
      </w:r>
      <w:r w:rsidRPr="00641D36">
        <w:rPr>
          <w:rFonts w:ascii="Bookman Old Style" w:hAnsi="Bookman Old Style"/>
        </w:rPr>
        <w:lastRenderedPageBreak/>
        <w:t>A cambio de ello se les aplicaba el nuevo impuesto específico a la minería o royalty, que era de 5%, pero que baja a 4 % para las empresas que renunciaran a la invariabilidad del 11 bis, con lo cual la tributación total llegaría solamente a 39 %, en vez de los 42 % que tenían antes de la Ley 20.026. Ese no es el único beneficio: durante los años 2006 y 2007 el impuesto específico tiene además un crédito de 50 % deducible del impuesto a la renta de primera categoría, por lo que la tributación total viene a ser de solo 37 %, es decir exactamente 5 % menos que antes de la Ley 20.026. En el mes de julio de 2007, el Director del SII presentó a la prensa un informe con la recaudación tributaria de las 10 mayores mineras extranjeras y declaró que por royalty había captado 705 millones de dólares. Sobre la base de estas cifras podemos calcular cuánto dinero perdió Chile ese año con la disminución de la tributación minera en 5 %, de 42 a 37 %. Si con el royalty de 4% se recaudaron 705 millones de dólares, quiere decir que la reducción del 5 % de tributación de las mineras, solo para el año 2006, representa 881 millones de dólares perdidos. Los chilenos perdimos 881 millones de dólares el año 2006, en beneficio exclusivo de las transnacionales mineras, y otros US$ 700 millones el año 2007. Sin embargo, tanto el gobierno como los medios de comunicación publicitaron la aprobación del royalty 2 como un gran logro del gobierno de Lagos. Legislar sobre el royalty tenía por objeto que las empresas mineras tributaran algo más que antes, sin embargo, se produjo lo contrario. Esta rebaja tributaria explica que las mineras extranjeras aceptaran renunciar a la invariabilidad tributaria del 11 bis. A estas mismas empresas se les otorgó una nueva invariabilidad tributaria, en el art. 11 ter del DL 600. Cuando el gobierno de Ricardo Lagos envió el proyecto de impuesto específico a la minería, el proyecto de ley no consideraba que en el futuro se legislara para aplicar una verdadera regalía minera o royalty. Si el proyecto hubiera contemplado esas disposiciones, ni siquiera se hubiera aprobado la idea de legislar. Desde su origen, el proyecto contemplaba la invariabilidad solo para el Impuesto Específico a la Minería. No obstante, en la etapa final del proyecto una moción agregó también la invariabilidad sobre un verdadero royalty. Cuando este proyecto pasó al Senado, los senadores democratacristianos –liderados por Adolfo Zaldívar– se negaron a apoyarlo si no se excluía de este impuesto a la mediana minería nacional. Recién a comienzos de mayo de 2005 el gobierno aceptó esta petición de la Democracia Cristiana, pero este acuerdo con la DC no preveía nuevos cambios a la invariabilidad ya aprobada. Sin embargo, cuando el Ejecutivo ingresó las modificaciones al Senado, se eximía de este impuesto a gran parte de los medianos mineros chilenos, pero aprovechándose de esta modificación, el gobierno también agregó la invariabilidad de la regalía o renta minera.</w:t>
      </w:r>
    </w:p>
    <w:p w14:paraId="5E3CE266" w14:textId="3820D961" w:rsidR="00641D36" w:rsidRPr="00641D36" w:rsidRDefault="00641D36" w:rsidP="00D501EA">
      <w:pPr>
        <w:spacing w:before="120" w:after="240" w:line="360" w:lineRule="auto"/>
        <w:jc w:val="both"/>
        <w:rPr>
          <w:rFonts w:ascii="Bookman Old Style" w:hAnsi="Bookman Old Style"/>
        </w:rPr>
      </w:pPr>
      <w:r w:rsidRPr="00641D36">
        <w:rPr>
          <w:rFonts w:ascii="Bookman Old Style" w:hAnsi="Bookman Old Style"/>
        </w:rPr>
        <w:t>Esto ocurrió de la siguiente manera. Como faltaban pocos días para el 21 de mayo, y con el pretexto que era necesario que el Presidente incluyera este "gran" proyecto en su cuenta del 21 de mayo de 2005, se le dio extrema urgencia al proyecto para aprobar estas modificaciones en ambas Cámaras, lo que significa que solo se procedería a votar las modificaciones sin ningún tipo de discusión. Gracias a la falta de discusión el gobierno se aprovechó de la extrema urgencia para que, junto con la exclusión de este impuesto a la mediana minería, se agregara una nueva invariabilidad tributaria que tenía una presentación muy anodina e imperceptible. Decía simplemente: "y agréguese al no 2) del artículo 2°: ―incluidas las regalías, cánones o cargas similares".</w:t>
      </w:r>
    </w:p>
    <w:p w14:paraId="2726AD4B" w14:textId="37E9698D" w:rsidR="00641D36" w:rsidRPr="00641D36" w:rsidRDefault="00641D36" w:rsidP="00D501EA">
      <w:pPr>
        <w:spacing w:before="120" w:after="240" w:line="360" w:lineRule="auto"/>
        <w:jc w:val="both"/>
        <w:rPr>
          <w:rFonts w:ascii="Bookman Old Style" w:hAnsi="Bookman Old Style"/>
        </w:rPr>
      </w:pPr>
      <w:r w:rsidRPr="00641D36">
        <w:rPr>
          <w:rFonts w:ascii="Bookman Old Style" w:hAnsi="Bookman Old Style"/>
        </w:rPr>
        <w:t>El número 2 quedó así. ―2) No estarán afectos a cualquier nuevo tributo, incluidas las regalías, cánones o cargas similares, específicos para la actividad minera, que se establezcan luego de la fecha de suscripción del contrato de inversión extranjera respectivo, que tenga como base o considere en la determinación de su base o monto, los ingresos por actividades mineras o las inversiones o los bienes o derechos utilizados en actividades minera</w:t>
      </w:r>
      <w:r w:rsidRPr="00B9564B">
        <w:rPr>
          <w:rFonts w:ascii="Bookman Old Style" w:hAnsi="Bookman Old Style"/>
        </w:rPr>
        <w:t>s</w:t>
      </w:r>
      <w:r w:rsidRPr="00B9564B">
        <w:rPr>
          <w:rFonts w:ascii="Times New Roman" w:hAnsi="Times New Roman" w:cs="Times New Roman"/>
        </w:rPr>
        <w:t>‖</w:t>
      </w:r>
      <w:r w:rsidRPr="00B9564B">
        <w:rPr>
          <w:rFonts w:ascii="Bookman Old Style" w:hAnsi="Bookman Old Style"/>
        </w:rPr>
        <w:t>.</w:t>
      </w:r>
      <w:r w:rsidRPr="00B9564B">
        <w:rPr>
          <w:rFonts w:ascii="Bookman Old Style" w:hAnsi="Bookman Old Style"/>
          <w:u w:val="single"/>
        </w:rPr>
        <w:t xml:space="preserve"> </w:t>
      </w:r>
      <w:r w:rsidRPr="00B9564B">
        <w:rPr>
          <w:rFonts w:ascii="Bookman Old Style" w:hAnsi="Bookman Old Style"/>
          <w:b/>
        </w:rPr>
        <w:t>Esta frase anodina fue una pu</w:t>
      </w:r>
      <w:r w:rsidRPr="00B9564B">
        <w:rPr>
          <w:rFonts w:ascii="Bookman Old Style" w:hAnsi="Bookman Old Style" w:cs="Bookman Old Style"/>
          <w:b/>
        </w:rPr>
        <w:t>ñ</w:t>
      </w:r>
      <w:r w:rsidRPr="00B9564B">
        <w:rPr>
          <w:rFonts w:ascii="Bookman Old Style" w:hAnsi="Bookman Old Style"/>
          <w:b/>
        </w:rPr>
        <w:t>alada por la espalda que el presidente Lagos</w:t>
      </w:r>
      <w:r w:rsidR="00B9564B" w:rsidRPr="00B9564B">
        <w:rPr>
          <w:rFonts w:ascii="Bookman Old Style" w:hAnsi="Bookman Old Style"/>
          <w:b/>
        </w:rPr>
        <w:t xml:space="preserve"> </w:t>
      </w:r>
      <w:proofErr w:type="gramStart"/>
      <w:r w:rsidR="00B9564B" w:rsidRPr="00B9564B">
        <w:rPr>
          <w:rFonts w:ascii="Bookman Old Style" w:hAnsi="Bookman Old Style"/>
          <w:b/>
        </w:rPr>
        <w:t xml:space="preserve">Escobar </w:t>
      </w:r>
      <w:r w:rsidRPr="00B9564B">
        <w:rPr>
          <w:rFonts w:ascii="Bookman Old Style" w:hAnsi="Bookman Old Style"/>
          <w:b/>
        </w:rPr>
        <w:t xml:space="preserve"> y</w:t>
      </w:r>
      <w:proofErr w:type="gramEnd"/>
      <w:r w:rsidRPr="00B9564B">
        <w:rPr>
          <w:rFonts w:ascii="Bookman Old Style" w:hAnsi="Bookman Old Style"/>
          <w:b/>
        </w:rPr>
        <w:t xml:space="preserve"> su Ministro de Hacienda Nicolás Eyzaguirre le dieron a la minería chilena.</w:t>
      </w:r>
      <w:r w:rsidRPr="00641D36">
        <w:rPr>
          <w:rFonts w:ascii="Bookman Old Style" w:hAnsi="Bookman Old Style"/>
        </w:rPr>
        <w:t xml:space="preserve"> Con esta aparentemente insignificante modificación se agregaba al artículo 11 ter del DL 600 la invariabilidad sobre las verdaderas regalías mineras, sin </w:t>
      </w:r>
      <w:r w:rsidRPr="00641D36">
        <w:rPr>
          <w:rFonts w:ascii="Bookman Old Style" w:hAnsi="Bookman Old Style"/>
        </w:rPr>
        <w:lastRenderedPageBreak/>
        <w:t xml:space="preserve">que el Congreso Nacional tuviera la oportunidad de debatirlas. En los hechos, con el royalty o IEM, Lagos no solo rebajó la tributación total de las mineras extranjeras, sino </w:t>
      </w:r>
      <w:proofErr w:type="gramStart"/>
      <w:r w:rsidRPr="00641D36">
        <w:rPr>
          <w:rFonts w:ascii="Bookman Old Style" w:hAnsi="Bookman Old Style"/>
        </w:rPr>
        <w:t>que</w:t>
      </w:r>
      <w:proofErr w:type="gramEnd"/>
      <w:r w:rsidRPr="00641D36">
        <w:rPr>
          <w:rFonts w:ascii="Bookman Old Style" w:hAnsi="Bookman Old Style"/>
        </w:rPr>
        <w:t xml:space="preserve"> además, y sobre todo, impidió que los tres presidentes de la República que le sucedieron pudieran legislar para aumentar las patentes mineras y establecer un verdadero royalty minero. Gracias a la mencionada ley, las empresas firmaron un contrato por 12 años con el Estado, contrato que les garantizó que ninguna nueva ley pueda aumentar las patentes mineras o les imponga un verdadero royalty. La extrema urgencia con la que el Ejecutivo hizo aprobar estas modificaciones no exculpa a los senadores y diputados que aprobaron esa indicación, y no verificaron lo que aprobaron en el último minuto. </w:t>
      </w:r>
      <w:r w:rsidRPr="00B9564B">
        <w:rPr>
          <w:rFonts w:ascii="Bookman Old Style" w:hAnsi="Bookman Old Style"/>
          <w:b/>
        </w:rPr>
        <w:t>Es inaceptable que a los parlamentarios se les engañe como a idiotas, hipotecando nuestro cobre y nuestra soberanía legislativa en favor exclusivo de empresas mineras extranjeras.</w:t>
      </w:r>
      <w:r w:rsidRPr="00641D36">
        <w:rPr>
          <w:rFonts w:ascii="Bookman Old Style" w:hAnsi="Bookman Old Style"/>
        </w:rPr>
        <w:t xml:space="preserve"> Tampoco exculpa a los medios de comunicación, que no dijeron nada de este engaño. Peor aún, presentaron la rebaja tributaria como un aumento de la tributación de las mineras, como un gran logro. La estafa es tan maquiavélica que no parece ser una creación chilena: probablemente fue elaborada fuera de nuestras fronteras. En Chile sólo se ejecutó con el concurso de lobistas. Todo lo relatado incide en el actual proyecto de royalty aprobado por la Cámara de Diputados, y que ahora está en el Senado. Si bien es un buen proyecto que aplica un royalty de 3% sobre la base de las ventas, y se incrementa marginalmente a medida que aumenta el precio del cobre, este royalty no se puede aplicar hasta el año 2024. Porque la mayor parte de las grandes mineras tienen invariabilidad sobre el Impuesto Específico a la Minería, sobre las patentes mineras y sobre un verdadero royalty como el que está en discusión. Dicha invariabilidad no puede ser cambiada por ley, puesto que son contratos entre el Estado y dichas empresas mineras. Gracias a Lagos y Eyzaguirre. No obstante, el Impuesto a la Renta no tiene invariabilidad tributaria.</w:t>
      </w:r>
    </w:p>
    <w:p w14:paraId="0231E816" w14:textId="798E66D6" w:rsidR="00FF66AE" w:rsidRDefault="00641D36" w:rsidP="00D501EA">
      <w:pPr>
        <w:spacing w:before="120" w:after="240" w:line="360" w:lineRule="auto"/>
        <w:jc w:val="both"/>
        <w:rPr>
          <w:rFonts w:ascii="Bookman Old Style" w:hAnsi="Bookman Old Style"/>
        </w:rPr>
      </w:pPr>
      <w:r w:rsidRPr="00641D36">
        <w:rPr>
          <w:rFonts w:ascii="Bookman Old Style" w:hAnsi="Bookman Old Style"/>
        </w:rPr>
        <w:t>Se puede aplicar entonces el impuesto a la renta presunta, –es decir sobre las ventas–, que existe actualmente en el art. 34 de la Ley de la Renta (DL 824). Tal disposición tributaria comienza en 4% de las ventas si el precio del cobre no excede 305,29 centavos de dólar, y sube hasta un 20% si el precio excede 416,42 centavos de dólar. Estas tasas se aplican solo a la pequeña minería: a la gran minería se le podrían aplicar tasas muy superiores. La Renta Presunta se puede aplicar inmediatamente y no habría que esperar hasta el año 2024. ¿Por qué los diputados no pensaron en esta alternativa y prefirieron un royalty que no se puede aplicar hasta el 2024? Queda lanzada la pregunta.</w:t>
      </w:r>
    </w:p>
    <w:p w14:paraId="38EAA7AC" w14:textId="2976F0A9" w:rsidR="008524DC" w:rsidRDefault="008524DC" w:rsidP="00D501EA">
      <w:pPr>
        <w:pBdr>
          <w:bottom w:val="single" w:sz="6" w:space="1" w:color="auto"/>
        </w:pBdr>
        <w:spacing w:before="120" w:after="240" w:line="360" w:lineRule="auto"/>
        <w:jc w:val="both"/>
        <w:rPr>
          <w:rFonts w:ascii="Bookman Old Style" w:hAnsi="Bookman Old Style"/>
        </w:rPr>
      </w:pPr>
      <w:r>
        <w:rPr>
          <w:rFonts w:ascii="Bookman Old Style" w:hAnsi="Bookman Old Style"/>
        </w:rPr>
        <w:t>Lo subrayado/ interpolado es nuestro</w:t>
      </w:r>
    </w:p>
    <w:p w14:paraId="3006BCB6" w14:textId="23B67C69" w:rsidR="008524DC" w:rsidRPr="00DB676E" w:rsidRDefault="008524DC" w:rsidP="008524DC">
      <w:pPr>
        <w:pStyle w:val="Ttulo"/>
        <w:jc w:val="both"/>
        <w:rPr>
          <w:rFonts w:ascii="Bookman Old Style" w:hAnsi="Bookman Old Style"/>
          <w:b/>
          <w:sz w:val="28"/>
          <w:szCs w:val="28"/>
        </w:rPr>
      </w:pPr>
      <w:r w:rsidRPr="00DB676E">
        <w:rPr>
          <w:rFonts w:ascii="Bookman Old Style" w:hAnsi="Bookman Old Style"/>
          <w:b/>
          <w:sz w:val="28"/>
          <w:szCs w:val="28"/>
        </w:rPr>
        <w:t>“</w:t>
      </w:r>
      <w:r w:rsidRPr="00DB676E">
        <w:rPr>
          <w:rFonts w:ascii="Bookman Old Style" w:hAnsi="Bookman Old Style"/>
          <w:b/>
          <w:bCs/>
          <w:sz w:val="28"/>
          <w:szCs w:val="28"/>
        </w:rPr>
        <w:t xml:space="preserve">Las razones que explican que un verdadero royalty esté afecto a invariabilidad: La depredación y </w:t>
      </w:r>
      <w:proofErr w:type="gramStart"/>
      <w:r w:rsidRPr="00DB676E">
        <w:rPr>
          <w:rFonts w:ascii="Bookman Old Style" w:hAnsi="Bookman Old Style"/>
          <w:b/>
          <w:bCs/>
          <w:sz w:val="28"/>
          <w:szCs w:val="28"/>
        </w:rPr>
        <w:t>saqueo  de</w:t>
      </w:r>
      <w:proofErr w:type="gramEnd"/>
      <w:r w:rsidRPr="00DB676E">
        <w:rPr>
          <w:rFonts w:ascii="Bookman Old Style" w:hAnsi="Bookman Old Style"/>
          <w:b/>
          <w:bCs/>
          <w:sz w:val="28"/>
          <w:szCs w:val="28"/>
        </w:rPr>
        <w:t xml:space="preserve"> las riquezas naturales y esenciales  en la Patria del General Libertador Bernardo O’Higgins Riquelme, del Toqui Lautaro y del Presidente Dr. Salvador Allende Gossens, por parte de  los capitales buitres foráneos y sus cómplices, la clase empresarial oligarca  agrícola/citadina y la clase </w:t>
      </w:r>
      <w:proofErr w:type="spellStart"/>
      <w:r w:rsidRPr="00DB676E">
        <w:rPr>
          <w:rFonts w:ascii="Bookman Old Style" w:hAnsi="Bookman Old Style"/>
          <w:b/>
          <w:bCs/>
          <w:sz w:val="28"/>
          <w:szCs w:val="28"/>
        </w:rPr>
        <w:t>politicastra</w:t>
      </w:r>
      <w:proofErr w:type="spellEnd"/>
      <w:r w:rsidRPr="00DB676E">
        <w:rPr>
          <w:rFonts w:ascii="Bookman Old Style" w:hAnsi="Bookman Old Style"/>
          <w:b/>
          <w:bCs/>
          <w:sz w:val="28"/>
          <w:szCs w:val="28"/>
        </w:rPr>
        <w:t>/castrense corruptas apátridas.</w:t>
      </w:r>
    </w:p>
    <w:p w14:paraId="0D82649E" w14:textId="1302428A" w:rsidR="008524DC" w:rsidRDefault="008524DC" w:rsidP="008524DC">
      <w:pPr>
        <w:spacing w:line="360" w:lineRule="auto"/>
        <w:jc w:val="both"/>
        <w:rPr>
          <w:rFonts w:ascii="Bookman Old Style" w:hAnsi="Bookman Old Style"/>
          <w:sz w:val="24"/>
          <w:szCs w:val="24"/>
        </w:rPr>
      </w:pPr>
      <w:r w:rsidRPr="00DB676E">
        <w:rPr>
          <w:rFonts w:ascii="Bookman Old Style" w:hAnsi="Bookman Old Style"/>
          <w:sz w:val="24"/>
          <w:szCs w:val="24"/>
        </w:rPr>
        <w:t xml:space="preserve">Julián Alcayaga </w:t>
      </w:r>
      <w:proofErr w:type="gramStart"/>
      <w:r w:rsidRPr="00DB676E">
        <w:rPr>
          <w:rFonts w:ascii="Bookman Old Style" w:hAnsi="Bookman Old Style"/>
          <w:sz w:val="24"/>
          <w:szCs w:val="24"/>
        </w:rPr>
        <w:t>Olivares  Ing.</w:t>
      </w:r>
      <w:proofErr w:type="gramEnd"/>
      <w:r w:rsidRPr="00DB676E">
        <w:rPr>
          <w:rFonts w:ascii="Bookman Old Style" w:hAnsi="Bookman Old Style"/>
          <w:sz w:val="24"/>
          <w:szCs w:val="24"/>
        </w:rPr>
        <w:t>/economista/Addhee.Ong</w:t>
      </w:r>
    </w:p>
    <w:p w14:paraId="58BF517E" w14:textId="53D6ED46" w:rsidR="00DB676E" w:rsidRDefault="00DB676E" w:rsidP="008524DC">
      <w:pPr>
        <w:spacing w:line="360" w:lineRule="auto"/>
        <w:jc w:val="both"/>
        <w:rPr>
          <w:rFonts w:ascii="Bookman Old Style" w:hAnsi="Bookman Old Style"/>
          <w:sz w:val="24"/>
          <w:szCs w:val="24"/>
        </w:rPr>
      </w:pPr>
      <w:r>
        <w:rPr>
          <w:rFonts w:ascii="Bookman Old Style" w:hAnsi="Bookman Old Style"/>
          <w:sz w:val="24"/>
          <w:szCs w:val="24"/>
        </w:rPr>
        <w:t xml:space="preserve">Blog: </w:t>
      </w:r>
      <w:hyperlink r:id="rId8" w:history="1">
        <w:r w:rsidRPr="00DB676E">
          <w:rPr>
            <w:rStyle w:val="Hipervnculo"/>
            <w:rFonts w:ascii="Bookman Old Style" w:hAnsi="Bookman Old Style"/>
            <w:sz w:val="24"/>
            <w:szCs w:val="24"/>
          </w:rPr>
          <w:t>https://bit.ly/3xnZxvR</w:t>
        </w:r>
      </w:hyperlink>
    </w:p>
    <w:p w14:paraId="63A68474" w14:textId="4CE657B6" w:rsidR="00DB676E" w:rsidRPr="00DB676E" w:rsidRDefault="00DB676E" w:rsidP="008524DC">
      <w:pPr>
        <w:spacing w:line="360" w:lineRule="auto"/>
        <w:jc w:val="both"/>
        <w:rPr>
          <w:rFonts w:ascii="Bookman Old Style" w:hAnsi="Bookman Old Style"/>
          <w:sz w:val="24"/>
          <w:szCs w:val="24"/>
        </w:rPr>
      </w:pPr>
      <w:r>
        <w:rPr>
          <w:rFonts w:ascii="Bookman Old Style" w:hAnsi="Bookman Old Style"/>
          <w:sz w:val="24"/>
          <w:szCs w:val="24"/>
        </w:rPr>
        <w:t xml:space="preserve">Pag: </w:t>
      </w:r>
      <w:hyperlink r:id="rId9" w:history="1">
        <w:r w:rsidRPr="00DB676E">
          <w:rPr>
            <w:rStyle w:val="Hipervnculo"/>
            <w:rFonts w:ascii="Bookman Old Style" w:hAnsi="Bookman Old Style"/>
            <w:sz w:val="24"/>
            <w:szCs w:val="24"/>
          </w:rPr>
          <w:t>https://bit.ly/2RDL</w:t>
        </w:r>
        <w:r w:rsidRPr="00DB676E">
          <w:rPr>
            <w:rStyle w:val="Hipervnculo"/>
            <w:rFonts w:ascii="Bookman Old Style" w:hAnsi="Bookman Old Style"/>
            <w:sz w:val="24"/>
            <w:szCs w:val="24"/>
          </w:rPr>
          <w:t>dzR</w:t>
        </w:r>
      </w:hyperlink>
    </w:p>
    <w:p w14:paraId="49DA128C" w14:textId="77FF4F50" w:rsidR="008524DC" w:rsidRPr="00DB676E" w:rsidRDefault="008524DC" w:rsidP="008524DC">
      <w:pPr>
        <w:spacing w:line="360" w:lineRule="auto"/>
        <w:jc w:val="both"/>
        <w:rPr>
          <w:rFonts w:ascii="Bookman Old Style" w:hAnsi="Bookman Old Style"/>
          <w:i/>
          <w:iCs/>
          <w:sz w:val="24"/>
          <w:szCs w:val="24"/>
        </w:rPr>
      </w:pPr>
      <w:r w:rsidRPr="00DB676E">
        <w:rPr>
          <w:rFonts w:ascii="Bookman Old Style" w:hAnsi="Bookman Old Style"/>
          <w:i/>
          <w:iCs/>
          <w:sz w:val="24"/>
          <w:szCs w:val="24"/>
        </w:rPr>
        <w:t xml:space="preserve">“A la Madre </w:t>
      </w:r>
      <w:proofErr w:type="gramStart"/>
      <w:r w:rsidRPr="00DB676E">
        <w:rPr>
          <w:rFonts w:ascii="Bookman Old Style" w:hAnsi="Bookman Old Style"/>
          <w:i/>
          <w:iCs/>
          <w:sz w:val="24"/>
          <w:szCs w:val="24"/>
        </w:rPr>
        <w:t>Patria  no</w:t>
      </w:r>
      <w:proofErr w:type="gramEnd"/>
      <w:r w:rsidRPr="00DB676E">
        <w:rPr>
          <w:rFonts w:ascii="Bookman Old Style" w:hAnsi="Bookman Old Style"/>
          <w:i/>
          <w:iCs/>
          <w:sz w:val="24"/>
          <w:szCs w:val="24"/>
        </w:rPr>
        <w:t xml:space="preserve"> se la vende, ni se la puede vender”. Papa Francisco Guía Moral de la Humanidad.  La Patria No se la depreda, sa</w:t>
      </w:r>
      <w:r w:rsidR="00426078" w:rsidRPr="00DB676E">
        <w:rPr>
          <w:rFonts w:ascii="Bookman Old Style" w:hAnsi="Bookman Old Style"/>
          <w:i/>
          <w:iCs/>
          <w:sz w:val="24"/>
          <w:szCs w:val="24"/>
        </w:rPr>
        <w:t>quea, alquila, regala, ni da: “</w:t>
      </w:r>
      <w:r w:rsidRPr="00DB676E">
        <w:rPr>
          <w:rFonts w:ascii="Bookman Old Style" w:hAnsi="Bookman Old Style"/>
          <w:i/>
          <w:iCs/>
          <w:sz w:val="24"/>
          <w:szCs w:val="24"/>
        </w:rPr>
        <w:t>La Patria, el Pueblo y la Nación no son pasione</w:t>
      </w:r>
      <w:r w:rsidR="00426078" w:rsidRPr="00DB676E">
        <w:rPr>
          <w:rFonts w:ascii="Bookman Old Style" w:hAnsi="Bookman Old Style"/>
          <w:i/>
          <w:iCs/>
          <w:sz w:val="24"/>
          <w:szCs w:val="24"/>
        </w:rPr>
        <w:t xml:space="preserve">s inútiles”, </w:t>
      </w:r>
      <w:proofErr w:type="gramStart"/>
      <w:r w:rsidR="00426078" w:rsidRPr="00DB676E">
        <w:rPr>
          <w:rFonts w:ascii="Bookman Old Style" w:hAnsi="Bookman Old Style"/>
          <w:i/>
          <w:iCs/>
          <w:sz w:val="24"/>
          <w:szCs w:val="24"/>
        </w:rPr>
        <w:t>por  Manuela</w:t>
      </w:r>
      <w:proofErr w:type="gramEnd"/>
      <w:r w:rsidR="00426078" w:rsidRPr="00DB676E">
        <w:rPr>
          <w:rFonts w:ascii="Bookman Old Style" w:hAnsi="Bookman Old Style"/>
          <w:i/>
          <w:iCs/>
          <w:sz w:val="24"/>
          <w:szCs w:val="24"/>
        </w:rPr>
        <w:t xml:space="preserve"> Sáenz Aizpuru,</w:t>
      </w:r>
      <w:r w:rsidRPr="00DB676E">
        <w:rPr>
          <w:rFonts w:ascii="Bookman Old Style" w:hAnsi="Bookman Old Style"/>
          <w:i/>
          <w:iCs/>
          <w:sz w:val="24"/>
          <w:szCs w:val="24"/>
        </w:rPr>
        <w:t xml:space="preserve"> inmortal compañera del General Libertador  Simón Bolívar Palacios y Blanco.</w:t>
      </w:r>
    </w:p>
    <w:p w14:paraId="2D0A016B" w14:textId="73E52482" w:rsidR="00426078" w:rsidRPr="00426078" w:rsidRDefault="00426078" w:rsidP="008524DC">
      <w:pPr>
        <w:spacing w:line="360" w:lineRule="auto"/>
        <w:jc w:val="both"/>
        <w:rPr>
          <w:rFonts w:ascii="Bookman Old Style" w:hAnsi="Bookman Old Style"/>
          <w:sz w:val="28"/>
          <w:szCs w:val="28"/>
        </w:rPr>
      </w:pPr>
      <w:r>
        <w:rPr>
          <w:rFonts w:ascii="Bookman Old Style" w:hAnsi="Bookman Old Style"/>
          <w:b/>
          <w:sz w:val="28"/>
          <w:szCs w:val="28"/>
        </w:rPr>
        <w:t>-----------------------------------------------------------------------------------</w:t>
      </w:r>
    </w:p>
    <w:p w14:paraId="3508A51F" w14:textId="6AC57692" w:rsidR="008524DC" w:rsidRPr="007514F9" w:rsidRDefault="00DB676E" w:rsidP="00641D36">
      <w:pPr>
        <w:spacing w:line="360" w:lineRule="auto"/>
        <w:jc w:val="both"/>
        <w:rPr>
          <w:rFonts w:ascii="Bookman Old Style" w:hAnsi="Bookman Old Style"/>
        </w:rPr>
      </w:pPr>
      <w:r>
        <w:rPr>
          <w:rFonts w:ascii="Bookman Old Style" w:hAnsi="Bookman Old Style"/>
          <w:noProof/>
        </w:rPr>
        <w:lastRenderedPageBreak/>
        <w:drawing>
          <wp:anchor distT="0" distB="0" distL="114300" distR="114300" simplePos="0" relativeHeight="251662336" behindDoc="1" locked="0" layoutInCell="1" allowOverlap="1" wp14:anchorId="2F59C14B" wp14:editId="2370EF56">
            <wp:simplePos x="0" y="0"/>
            <wp:positionH relativeFrom="column">
              <wp:posOffset>2876550</wp:posOffset>
            </wp:positionH>
            <wp:positionV relativeFrom="paragraph">
              <wp:posOffset>342900</wp:posOffset>
            </wp:positionV>
            <wp:extent cx="4067175" cy="3068320"/>
            <wp:effectExtent l="0" t="0" r="9525" b="0"/>
            <wp:wrapTight wrapText="bothSides">
              <wp:wrapPolygon edited="0">
                <wp:start x="0" y="0"/>
                <wp:lineTo x="0" y="21457"/>
                <wp:lineTo x="21549" y="21457"/>
                <wp:lineTo x="21549" y="0"/>
                <wp:lineTo x="0" y="0"/>
              </wp:wrapPolygon>
            </wp:wrapTight>
            <wp:docPr id="5" name="Imagen 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Texto&#10;&#10;Descripción generada automáticamente"/>
                    <pic:cNvPicPr/>
                  </pic:nvPicPr>
                  <pic:blipFill>
                    <a:blip r:embed="rId10">
                      <a:extLst>
                        <a:ext uri="{28A0092B-C50C-407E-A947-70E740481C1C}">
                          <a14:useLocalDpi xmlns:a14="http://schemas.microsoft.com/office/drawing/2010/main" val="0"/>
                        </a:ext>
                      </a:extLst>
                    </a:blip>
                    <a:stretch>
                      <a:fillRect/>
                    </a:stretch>
                  </pic:blipFill>
                  <pic:spPr>
                    <a:xfrm>
                      <a:off x="0" y="0"/>
                      <a:ext cx="4067175" cy="3068320"/>
                    </a:xfrm>
                    <a:prstGeom prst="rect">
                      <a:avLst/>
                    </a:prstGeom>
                  </pic:spPr>
                </pic:pic>
              </a:graphicData>
            </a:graphic>
            <wp14:sizeRelH relativeFrom="margin">
              <wp14:pctWidth>0</wp14:pctWidth>
            </wp14:sizeRelH>
          </wp:anchor>
        </w:drawing>
      </w:r>
      <w:r w:rsidR="00426078" w:rsidRPr="007514F9">
        <w:rPr>
          <w:rFonts w:ascii="Bookman Old Style" w:hAnsi="Bookman Old Style"/>
        </w:rPr>
        <w:t>Estimados amigos asociados:</w:t>
      </w:r>
    </w:p>
    <w:p w14:paraId="56326573" w14:textId="49CD79C6" w:rsidR="00426078" w:rsidRPr="007514F9" w:rsidRDefault="00426078" w:rsidP="00641D36">
      <w:pPr>
        <w:spacing w:line="360" w:lineRule="auto"/>
        <w:jc w:val="both"/>
        <w:rPr>
          <w:rFonts w:ascii="Bookman Old Style" w:hAnsi="Bookman Old Style"/>
        </w:rPr>
      </w:pPr>
      <w:r w:rsidRPr="007514F9">
        <w:rPr>
          <w:rFonts w:ascii="Bookman Old Style" w:hAnsi="Bookman Old Style"/>
        </w:rPr>
        <w:t xml:space="preserve">Recordando en este mes de junio, el </w:t>
      </w:r>
      <w:r w:rsidR="00222DB5" w:rsidRPr="007514F9">
        <w:rPr>
          <w:rFonts w:ascii="Bookman Old Style" w:hAnsi="Bookman Old Style"/>
        </w:rPr>
        <w:t>día</w:t>
      </w:r>
      <w:r w:rsidRPr="007514F9">
        <w:rPr>
          <w:rFonts w:ascii="Bookman Old Style" w:hAnsi="Bookman Old Style"/>
        </w:rPr>
        <w:t xml:space="preserve"> de la Dignidad Nacional con la Nacionalización del Cobre, por el Gobierno Popular que presidía el Compañero Presidente Dr. Salvador </w:t>
      </w:r>
      <w:r w:rsidR="00222DB5">
        <w:rPr>
          <w:rFonts w:ascii="Bookman Old Style" w:hAnsi="Bookman Old Style"/>
        </w:rPr>
        <w:t>A</w:t>
      </w:r>
      <w:r w:rsidRPr="007514F9">
        <w:rPr>
          <w:rFonts w:ascii="Bookman Old Style" w:hAnsi="Bookman Old Style"/>
        </w:rPr>
        <w:t xml:space="preserve">llende Gossens, precisamos que los países no </w:t>
      </w:r>
      <w:proofErr w:type="gramStart"/>
      <w:r w:rsidRPr="007514F9">
        <w:rPr>
          <w:rFonts w:ascii="Bookman Old Style" w:hAnsi="Bookman Old Style"/>
        </w:rPr>
        <w:t>son  expresiones</w:t>
      </w:r>
      <w:proofErr w:type="gramEnd"/>
      <w:r w:rsidRPr="007514F9">
        <w:rPr>
          <w:rFonts w:ascii="Bookman Old Style" w:hAnsi="Bookman Old Style"/>
        </w:rPr>
        <w:t xml:space="preserve"> geográficas y  los Estados de Derecho son  formas de equilibrio político. Una Patria   es mucho </w:t>
      </w:r>
      <w:proofErr w:type="gramStart"/>
      <w:r w:rsidRPr="007514F9">
        <w:rPr>
          <w:rFonts w:ascii="Bookman Old Style" w:hAnsi="Bookman Old Style"/>
        </w:rPr>
        <w:t>más  y</w:t>
      </w:r>
      <w:proofErr w:type="gramEnd"/>
      <w:r w:rsidRPr="007514F9">
        <w:rPr>
          <w:rFonts w:ascii="Bookman Old Style" w:hAnsi="Bookman Old Style"/>
        </w:rPr>
        <w:t xml:space="preserve"> es otra cosa: sincronismo de espíritus y corazones,  temple uniforme para el esfuerzo y homogénea disposición para el sacrificio, simultaneidad en la aspiración de la grandeza,  en el pudor de la derrota y  en el deseo de la gloria. Cuando </w:t>
      </w:r>
      <w:proofErr w:type="gramStart"/>
      <w:r w:rsidRPr="007514F9">
        <w:rPr>
          <w:rFonts w:ascii="Bookman Old Style" w:hAnsi="Bookman Old Style"/>
        </w:rPr>
        <w:t>falta  esta</w:t>
      </w:r>
      <w:proofErr w:type="gramEnd"/>
      <w:r w:rsidRPr="007514F9">
        <w:rPr>
          <w:rFonts w:ascii="Bookman Old Style" w:hAnsi="Bookman Old Style"/>
        </w:rPr>
        <w:t xml:space="preserve"> comunidad de esperanza, no hay Patria, no puede haberla. Así la soñaron y lucharon por ella el General Libertador Bernardo O’Higgins Riquelme, el Toqui Lautaro y el Compañero Presidente Dr. Salvador Allende Gossens anhelando la grandeza de una Patria para todos, con la </w:t>
      </w:r>
      <w:proofErr w:type="gramStart"/>
      <w:r w:rsidRPr="007514F9">
        <w:rPr>
          <w:rFonts w:ascii="Bookman Old Style" w:hAnsi="Bookman Old Style"/>
        </w:rPr>
        <w:t>decisión  de</w:t>
      </w:r>
      <w:proofErr w:type="gramEnd"/>
      <w:r w:rsidRPr="007514F9">
        <w:rPr>
          <w:rFonts w:ascii="Bookman Old Style" w:hAnsi="Bookman Old Style"/>
        </w:rPr>
        <w:t xml:space="preserve"> realizarla. La Patria está implícita en la solidaridad de un pueblo y </w:t>
      </w:r>
      <w:proofErr w:type="gramStart"/>
      <w:r w:rsidRPr="007514F9">
        <w:rPr>
          <w:rFonts w:ascii="Bookman Old Style" w:hAnsi="Bookman Old Style"/>
        </w:rPr>
        <w:t>no  en</w:t>
      </w:r>
      <w:proofErr w:type="gramEnd"/>
      <w:r w:rsidRPr="007514F9">
        <w:rPr>
          <w:rFonts w:ascii="Bookman Old Style" w:hAnsi="Bookman Old Style"/>
        </w:rPr>
        <w:t xml:space="preserve"> la confabulación  de contubernios, de mercachifles y politicastros/castrenses corruptos apátridas, que medran a su sombra. No basta acumular r</w:t>
      </w:r>
      <w:r w:rsidR="00222DB5">
        <w:rPr>
          <w:rFonts w:ascii="Bookman Old Style" w:hAnsi="Bookman Old Style"/>
        </w:rPr>
        <w:t xml:space="preserve">iquezas para crear una Patria. </w:t>
      </w:r>
      <w:r w:rsidRPr="007514F9">
        <w:rPr>
          <w:rFonts w:ascii="Bookman Old Style" w:hAnsi="Bookman Old Style"/>
        </w:rPr>
        <w:t xml:space="preserve">Cartago lo fue. Era una factoría/empresa. Las empresas privadas, las </w:t>
      </w:r>
      <w:proofErr w:type="gramStart"/>
      <w:r w:rsidRPr="007514F9">
        <w:rPr>
          <w:rFonts w:ascii="Bookman Old Style" w:hAnsi="Bookman Old Style"/>
        </w:rPr>
        <w:t>industrias  privadas</w:t>
      </w:r>
      <w:proofErr w:type="gramEnd"/>
      <w:r w:rsidRPr="007514F9">
        <w:rPr>
          <w:rFonts w:ascii="Bookman Old Style" w:hAnsi="Bookman Old Style"/>
        </w:rPr>
        <w:t xml:space="preserve"> del  consumismo desaforado hacen de cualquier país un mal, una factoría o satrapía de algún imperio. Se necesitan ideales y educación formadora/liberadora/ pública y cultura para que en él haya una Patria.</w:t>
      </w:r>
    </w:p>
    <w:p w14:paraId="616109A9" w14:textId="6D4BE2EF" w:rsidR="00426078" w:rsidRPr="009842EB" w:rsidRDefault="00E36D73" w:rsidP="00641D36">
      <w:pPr>
        <w:spacing w:line="360" w:lineRule="auto"/>
        <w:jc w:val="both"/>
        <w:rPr>
          <w:rFonts w:ascii="Bookman Old Style" w:hAnsi="Bookman Old Style"/>
          <w:b/>
        </w:rPr>
      </w:pPr>
      <w:r w:rsidRPr="007514F9">
        <w:rPr>
          <w:rFonts w:ascii="Bookman Old Style" w:hAnsi="Bookman Old Style"/>
        </w:rPr>
        <w:t>La Patria tiene intermitencia, su unidad moral desaparece en ciertas épocas por causa de la corrupción, la impunidad y la indigencia educacional y cultural,</w:t>
      </w:r>
      <w:r w:rsidR="009842EB">
        <w:rPr>
          <w:rFonts w:ascii="Bookman Old Style" w:hAnsi="Bookman Old Style"/>
        </w:rPr>
        <w:t xml:space="preserve"> como en el Chile virtual</w:t>
      </w:r>
      <w:r w:rsidRPr="007514F9">
        <w:rPr>
          <w:rFonts w:ascii="Bookman Old Style" w:hAnsi="Bookman Old Style"/>
        </w:rPr>
        <w:t xml:space="preserve"> impuesto por la dictadura cívico militar. Todo afán de educación formadora/liberadora/pública y de </w:t>
      </w:r>
      <w:proofErr w:type="gramStart"/>
      <w:r w:rsidRPr="007514F9">
        <w:rPr>
          <w:rFonts w:ascii="Bookman Old Style" w:hAnsi="Bookman Old Style"/>
        </w:rPr>
        <w:t>cultura  se</w:t>
      </w:r>
      <w:proofErr w:type="gramEnd"/>
      <w:r w:rsidRPr="007514F9">
        <w:rPr>
          <w:rFonts w:ascii="Bookman Old Style" w:hAnsi="Bookman Old Style"/>
        </w:rPr>
        <w:t xml:space="preserve"> eclipsa y se enseñorean los viles apetitos de  protagonismos, mandos y de enriquecimiento. El único remedio contra esta chatura moral y la política bajuna es crear un nuevo ambiente moral </w:t>
      </w:r>
      <w:proofErr w:type="gramStart"/>
      <w:r w:rsidRPr="007514F9">
        <w:rPr>
          <w:rFonts w:ascii="Bookman Old Style" w:hAnsi="Bookman Old Style"/>
        </w:rPr>
        <w:t>propicio  a</w:t>
      </w:r>
      <w:proofErr w:type="gramEnd"/>
      <w:r w:rsidRPr="007514F9">
        <w:rPr>
          <w:rFonts w:ascii="Bookman Old Style" w:hAnsi="Bookman Old Style"/>
        </w:rPr>
        <w:t xml:space="preserve"> toda culminación de la virtud, </w:t>
      </w:r>
      <w:r w:rsidRPr="009842EB">
        <w:rPr>
          <w:rFonts w:ascii="Bookman Old Style" w:hAnsi="Bookman Old Style"/>
          <w:b/>
        </w:rPr>
        <w:t>a partir de una nueva Constitución elaborada y sancionada  soberanamente por el Pueblo en el marco de una Asamblea Constituyente.</w:t>
      </w:r>
    </w:p>
    <w:p w14:paraId="29011A8E" w14:textId="32CB38FD" w:rsidR="00E36D73" w:rsidRPr="007514F9" w:rsidRDefault="00E36D73" w:rsidP="00641D36">
      <w:pPr>
        <w:spacing w:line="360" w:lineRule="auto"/>
        <w:jc w:val="both"/>
        <w:rPr>
          <w:rFonts w:ascii="Bookman Old Style" w:hAnsi="Bookman Old Style"/>
        </w:rPr>
      </w:pPr>
      <w:r w:rsidRPr="007514F9">
        <w:rPr>
          <w:rFonts w:ascii="Bookman Old Style" w:hAnsi="Bookman Old Style"/>
        </w:rPr>
        <w:t xml:space="preserve">Cuando no hay Patria, no puede haber sentimiento colectivo de la </w:t>
      </w:r>
      <w:proofErr w:type="gramStart"/>
      <w:r w:rsidRPr="007514F9">
        <w:rPr>
          <w:rFonts w:ascii="Bookman Old Style" w:hAnsi="Bookman Old Style"/>
        </w:rPr>
        <w:t>nacionalidad,  inconfundible</w:t>
      </w:r>
      <w:proofErr w:type="gramEnd"/>
      <w:r w:rsidRPr="007514F9">
        <w:rPr>
          <w:rFonts w:ascii="Bookman Old Style" w:hAnsi="Bookman Old Style"/>
        </w:rPr>
        <w:t xml:space="preserve"> con  la mentira patriotera explotada en todos los países satélites del sistema capitalista globalizado por  los  mercachifles  olig</w:t>
      </w:r>
      <w:r w:rsidR="00222DB5">
        <w:rPr>
          <w:rFonts w:ascii="Bookman Old Style" w:hAnsi="Bookman Old Style"/>
        </w:rPr>
        <w:t>a</w:t>
      </w:r>
      <w:r w:rsidRPr="007514F9">
        <w:rPr>
          <w:rFonts w:ascii="Bookman Old Style" w:hAnsi="Bookman Old Style"/>
        </w:rPr>
        <w:t>rcas y politicastros /castrenses testaferros de la tiranía más despótica, perversa, desalmada e inmoral  que imponen los plutócratas empresarios dueños de la celestina universal, de las empresas multinacionales, los bancos especuladores/usureros y sus paraísos fiscales…</w:t>
      </w:r>
    </w:p>
    <w:p w14:paraId="5EA497ED" w14:textId="134DDAC5" w:rsidR="00E36D73" w:rsidRPr="007514F9" w:rsidRDefault="00E36D73" w:rsidP="00641D36">
      <w:pPr>
        <w:spacing w:line="360" w:lineRule="auto"/>
        <w:jc w:val="both"/>
        <w:rPr>
          <w:rFonts w:ascii="Bookman Old Style" w:hAnsi="Bookman Old Style"/>
          <w:i/>
        </w:rPr>
      </w:pPr>
      <w:r w:rsidRPr="007514F9">
        <w:rPr>
          <w:rFonts w:ascii="Bookman Old Style" w:hAnsi="Bookman Old Style"/>
        </w:rPr>
        <w:t xml:space="preserve">Quien tenga Patria, que la honre y la proteja, es el desafío que nos plantea un ser humano, un talentoso profesional patriota el ingeniero/ economista Julián Alcayaga Olivares, en el contexto de su lucha diaria en la </w:t>
      </w:r>
      <w:proofErr w:type="gramStart"/>
      <w:r w:rsidRPr="007514F9">
        <w:rPr>
          <w:rFonts w:ascii="Bookman Old Style" w:hAnsi="Bookman Old Style"/>
        </w:rPr>
        <w:t>esperanza  de</w:t>
      </w:r>
      <w:proofErr w:type="gramEnd"/>
      <w:r w:rsidRPr="007514F9">
        <w:rPr>
          <w:rFonts w:ascii="Bookman Old Style" w:hAnsi="Bookman Old Style"/>
        </w:rPr>
        <w:t xml:space="preserve"> que  otro Chile, el Chile de la República de Todos, sociológicamente hablando, como la soñ</w:t>
      </w:r>
      <w:r w:rsidR="007514F9" w:rsidRPr="007514F9">
        <w:rPr>
          <w:rFonts w:ascii="Bookman Old Style" w:hAnsi="Bookman Old Style"/>
        </w:rPr>
        <w:t>ó</w:t>
      </w:r>
      <w:r w:rsidRPr="007514F9">
        <w:rPr>
          <w:rFonts w:ascii="Bookman Old Style" w:hAnsi="Bookman Old Style"/>
        </w:rPr>
        <w:t xml:space="preserve"> y luchó el padre de</w:t>
      </w:r>
      <w:r w:rsidR="009842EB">
        <w:rPr>
          <w:rFonts w:ascii="Bookman Old Style" w:hAnsi="Bookman Old Style"/>
        </w:rPr>
        <w:t xml:space="preserve"> </w:t>
      </w:r>
      <w:r w:rsidRPr="007514F9">
        <w:rPr>
          <w:rFonts w:ascii="Bookman Old Style" w:hAnsi="Bookman Old Style"/>
        </w:rPr>
        <w:t>la Patria General Libertador Bernardo</w:t>
      </w:r>
      <w:r w:rsidR="007514F9" w:rsidRPr="007514F9">
        <w:rPr>
          <w:rFonts w:ascii="Bookman Old Style" w:hAnsi="Bookman Old Style"/>
        </w:rPr>
        <w:t xml:space="preserve"> O’Higgins Riquelme, es posible…. Que la esperanza de éste profesional patriota no sirva sólo de consuelo, sino que sea descubierta a su propia manera por cada </w:t>
      </w:r>
      <w:proofErr w:type="gramStart"/>
      <w:r w:rsidR="007514F9" w:rsidRPr="007514F9">
        <w:rPr>
          <w:rFonts w:ascii="Bookman Old Style" w:hAnsi="Bookman Old Style"/>
        </w:rPr>
        <w:t>trabajador,  trabajadora</w:t>
      </w:r>
      <w:proofErr w:type="gramEnd"/>
      <w:r w:rsidR="007514F9" w:rsidRPr="007514F9">
        <w:rPr>
          <w:rFonts w:ascii="Bookman Old Style" w:hAnsi="Bookman Old Style"/>
        </w:rPr>
        <w:t>, joven, etc. , es el sentido  de los escritos  de este profesional patriota chileno, quien  junto  al guía moral de la Humanidad, el Papa Francisco, asumen: “</w:t>
      </w:r>
      <w:r w:rsidR="007514F9" w:rsidRPr="007514F9">
        <w:rPr>
          <w:rFonts w:ascii="Bookman Old Style" w:hAnsi="Bookman Old Style"/>
          <w:i/>
        </w:rPr>
        <w:t>que a la Madre Patria no se la vende  ni se la puede vender”…</w:t>
      </w:r>
    </w:p>
    <w:p w14:paraId="4133CCD7" w14:textId="080F7E1A" w:rsidR="007514F9" w:rsidRPr="007514F9" w:rsidRDefault="007514F9" w:rsidP="00641D36">
      <w:pPr>
        <w:spacing w:line="360" w:lineRule="auto"/>
        <w:jc w:val="both"/>
        <w:rPr>
          <w:rFonts w:ascii="Bookman Old Style" w:hAnsi="Bookman Old Style"/>
        </w:rPr>
      </w:pPr>
      <w:r w:rsidRPr="007514F9">
        <w:rPr>
          <w:rFonts w:ascii="Bookman Old Style" w:hAnsi="Bookman Old Style"/>
          <w:i/>
        </w:rPr>
        <w:lastRenderedPageBreak/>
        <w:t xml:space="preserve"> </w:t>
      </w:r>
      <w:r w:rsidRPr="007514F9">
        <w:rPr>
          <w:rFonts w:ascii="Bookman Old Style" w:hAnsi="Bookman Old Style"/>
        </w:rPr>
        <w:t>Con esperanza y memoria “luchar es vivir”</w:t>
      </w:r>
      <w:r w:rsidR="009842EB">
        <w:rPr>
          <w:rFonts w:ascii="Bookman Old Style" w:hAnsi="Bookman Old Style"/>
        </w:rPr>
        <w:t>,</w:t>
      </w:r>
      <w:r w:rsidRPr="007514F9">
        <w:rPr>
          <w:rFonts w:ascii="Bookman Old Style" w:hAnsi="Bookman Old Style"/>
        </w:rPr>
        <w:t xml:space="preserve"> escuchemos a un patriota del Movimiento </w:t>
      </w:r>
      <w:r w:rsidR="00222DB5">
        <w:rPr>
          <w:rFonts w:ascii="Bookman Old Style" w:hAnsi="Bookman Old Style"/>
        </w:rPr>
        <w:t>So</w:t>
      </w:r>
      <w:r w:rsidRPr="007514F9">
        <w:rPr>
          <w:rFonts w:ascii="Bookman Old Style" w:hAnsi="Bookman Old Style"/>
        </w:rPr>
        <w:t>cial 18 de Octubre, rompamos el aislamiento,  rechacemos el fatalismo y la resignación, volvamos a sentir la satisfacción de un acto de libertad y dignidad, ganemos nuevamente las calles de Chile y retomemos la Plaza de la  Dignidad, recuperemos nuestro Chile, asumiendo  y divulgando los escrito</w:t>
      </w:r>
      <w:r w:rsidR="009842EB">
        <w:rPr>
          <w:rFonts w:ascii="Bookman Old Style" w:hAnsi="Bookman Old Style"/>
        </w:rPr>
        <w:t>s</w:t>
      </w:r>
      <w:r w:rsidRPr="007514F9">
        <w:rPr>
          <w:rFonts w:ascii="Bookman Old Style" w:hAnsi="Bookman Old Style"/>
        </w:rPr>
        <w:t xml:space="preserve"> del compatriota Ing. Julián Alcayaga Olivares, porque, “aún tenemos Patria  ciudadanos”</w:t>
      </w:r>
      <w:r w:rsidR="009842EB">
        <w:rPr>
          <w:rFonts w:ascii="Bookman Old Style" w:hAnsi="Bookman Old Style"/>
        </w:rPr>
        <w:t xml:space="preserve"> los </w:t>
      </w:r>
      <w:r w:rsidRPr="007514F9">
        <w:rPr>
          <w:rFonts w:ascii="Bookman Old Style" w:hAnsi="Bookman Old Style"/>
        </w:rPr>
        <w:t xml:space="preserve"> que amamos esta tierra en que nacimos. ..</w:t>
      </w:r>
    </w:p>
    <w:p w14:paraId="0ED96F05" w14:textId="77777777" w:rsidR="00DB676E" w:rsidRDefault="007514F9" w:rsidP="00DB676E">
      <w:pPr>
        <w:spacing w:after="0" w:line="240" w:lineRule="auto"/>
        <w:jc w:val="both"/>
        <w:rPr>
          <w:rFonts w:ascii="Bookman Old Style" w:hAnsi="Bookman Old Style"/>
        </w:rPr>
      </w:pPr>
      <w:r w:rsidRPr="007514F9">
        <w:rPr>
          <w:rFonts w:ascii="Bookman Old Style" w:hAnsi="Bookman Old Style"/>
        </w:rPr>
        <w:t xml:space="preserve">Certifico Prof. Moreno Peralta/ IWA. </w:t>
      </w:r>
    </w:p>
    <w:p w14:paraId="6C30E240" w14:textId="4684CC49" w:rsidR="007514F9" w:rsidRDefault="007514F9" w:rsidP="00DB676E">
      <w:pPr>
        <w:spacing w:after="0" w:line="240" w:lineRule="auto"/>
        <w:jc w:val="both"/>
        <w:rPr>
          <w:rFonts w:ascii="Bookman Old Style" w:hAnsi="Bookman Old Style"/>
        </w:rPr>
      </w:pPr>
      <w:r w:rsidRPr="007514F9">
        <w:rPr>
          <w:rFonts w:ascii="Bookman Old Style" w:hAnsi="Bookman Old Style"/>
        </w:rPr>
        <w:t xml:space="preserve">Secretario ejecutivo </w:t>
      </w:r>
      <w:proofErr w:type="spellStart"/>
      <w:r w:rsidRPr="007514F9">
        <w:rPr>
          <w:rFonts w:ascii="Bookman Old Style" w:hAnsi="Bookman Old Style"/>
        </w:rPr>
        <w:t>Addhee</w:t>
      </w:r>
      <w:proofErr w:type="spellEnd"/>
      <w:r w:rsidRPr="007514F9">
        <w:rPr>
          <w:rFonts w:ascii="Bookman Old Style" w:hAnsi="Bookman Old Style"/>
        </w:rPr>
        <w:t xml:space="preserve">. </w:t>
      </w:r>
      <w:proofErr w:type="spellStart"/>
      <w:r w:rsidRPr="007514F9">
        <w:rPr>
          <w:rFonts w:ascii="Bookman Old Style" w:hAnsi="Bookman Old Style"/>
        </w:rPr>
        <w:t>Ong</w:t>
      </w:r>
      <w:proofErr w:type="spellEnd"/>
    </w:p>
    <w:p w14:paraId="6F9DF292" w14:textId="77777777" w:rsidR="00DB676E" w:rsidRPr="007514F9" w:rsidRDefault="00DB676E" w:rsidP="00DB676E">
      <w:pPr>
        <w:spacing w:after="0" w:line="240" w:lineRule="auto"/>
        <w:jc w:val="both"/>
        <w:rPr>
          <w:rFonts w:ascii="Bookman Old Style" w:hAnsi="Bookman Old Style"/>
        </w:rPr>
      </w:pPr>
    </w:p>
    <w:p w14:paraId="1CC677CC" w14:textId="04EE9D36" w:rsidR="00DB676E" w:rsidRDefault="007514F9" w:rsidP="00DB676E">
      <w:pPr>
        <w:spacing w:after="0" w:line="240" w:lineRule="auto"/>
        <w:jc w:val="both"/>
        <w:rPr>
          <w:rFonts w:ascii="Bookman Old Style" w:hAnsi="Bookman Old Style"/>
        </w:rPr>
      </w:pPr>
      <w:r w:rsidRPr="007514F9">
        <w:rPr>
          <w:rFonts w:ascii="Bookman Old Style" w:hAnsi="Bookman Old Style"/>
        </w:rPr>
        <w:t xml:space="preserve">Valentina Marín Rozas. </w:t>
      </w:r>
    </w:p>
    <w:p w14:paraId="2101D99D" w14:textId="44E4E8DE" w:rsidR="007514F9" w:rsidRPr="007514F9" w:rsidRDefault="007514F9" w:rsidP="00DB676E">
      <w:pPr>
        <w:spacing w:after="0" w:line="240" w:lineRule="auto"/>
        <w:jc w:val="both"/>
        <w:rPr>
          <w:rFonts w:ascii="Bookman Old Style" w:hAnsi="Bookman Old Style"/>
        </w:rPr>
      </w:pPr>
      <w:r w:rsidRPr="007514F9">
        <w:rPr>
          <w:rFonts w:ascii="Bookman Old Style" w:hAnsi="Bookman Old Style"/>
        </w:rPr>
        <w:t xml:space="preserve">Asistente </w:t>
      </w:r>
      <w:proofErr w:type="spellStart"/>
      <w:r w:rsidRPr="007514F9">
        <w:rPr>
          <w:rFonts w:ascii="Bookman Old Style" w:hAnsi="Bookman Old Style"/>
        </w:rPr>
        <w:t>Addhee</w:t>
      </w:r>
      <w:proofErr w:type="spellEnd"/>
      <w:r w:rsidRPr="007514F9">
        <w:rPr>
          <w:rFonts w:ascii="Bookman Old Style" w:hAnsi="Bookman Old Style"/>
        </w:rPr>
        <w:t xml:space="preserve">. </w:t>
      </w:r>
      <w:proofErr w:type="spellStart"/>
      <w:r w:rsidRPr="007514F9">
        <w:rPr>
          <w:rFonts w:ascii="Bookman Old Style" w:hAnsi="Bookman Old Style"/>
        </w:rPr>
        <w:t>Ong</w:t>
      </w:r>
      <w:proofErr w:type="spellEnd"/>
      <w:r w:rsidRPr="007514F9">
        <w:rPr>
          <w:rFonts w:ascii="Bookman Old Style" w:hAnsi="Bookman Old Style"/>
        </w:rPr>
        <w:t xml:space="preserve">. </w:t>
      </w:r>
    </w:p>
    <w:p w14:paraId="6514933A" w14:textId="77777777" w:rsidR="00426078" w:rsidRPr="007514F9" w:rsidRDefault="00426078" w:rsidP="00641D36">
      <w:pPr>
        <w:spacing w:line="360" w:lineRule="auto"/>
        <w:jc w:val="both"/>
        <w:rPr>
          <w:rFonts w:ascii="Bookman Old Style" w:hAnsi="Bookman Old Style"/>
        </w:rPr>
      </w:pPr>
    </w:p>
    <w:sectPr w:rsidR="00426078" w:rsidRPr="007514F9" w:rsidSect="00D501EA">
      <w:pgSz w:w="12240" w:h="20160" w:code="5"/>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D36"/>
    <w:rsid w:val="000E0E0B"/>
    <w:rsid w:val="00133B11"/>
    <w:rsid w:val="00222DB5"/>
    <w:rsid w:val="003E57AA"/>
    <w:rsid w:val="00426078"/>
    <w:rsid w:val="00641D36"/>
    <w:rsid w:val="007514F9"/>
    <w:rsid w:val="008524DC"/>
    <w:rsid w:val="009842EB"/>
    <w:rsid w:val="00B1298F"/>
    <w:rsid w:val="00B9564B"/>
    <w:rsid w:val="00D501EA"/>
    <w:rsid w:val="00DB676E"/>
    <w:rsid w:val="00E36D73"/>
    <w:rsid w:val="00FF66A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2BE9A"/>
  <w15:docId w15:val="{35EC8EED-7DFA-4CC2-9921-820C79D7E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641D3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41D36"/>
    <w:rPr>
      <w:rFonts w:asciiTheme="majorHAnsi" w:eastAsiaTheme="majorEastAsia" w:hAnsiTheme="majorHAnsi" w:cstheme="majorBidi"/>
      <w:spacing w:val="-10"/>
      <w:kern w:val="28"/>
      <w:sz w:val="56"/>
      <w:szCs w:val="56"/>
    </w:rPr>
  </w:style>
  <w:style w:type="paragraph" w:styleId="Textodeglobo">
    <w:name w:val="Balloon Text"/>
    <w:basedOn w:val="Normal"/>
    <w:link w:val="TextodegloboCar"/>
    <w:uiPriority w:val="99"/>
    <w:semiHidden/>
    <w:unhideWhenUsed/>
    <w:rsid w:val="009842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842EB"/>
    <w:rPr>
      <w:rFonts w:ascii="Tahoma" w:hAnsi="Tahoma" w:cs="Tahoma"/>
      <w:sz w:val="16"/>
      <w:szCs w:val="16"/>
    </w:rPr>
  </w:style>
  <w:style w:type="character" w:styleId="Hipervnculo">
    <w:name w:val="Hyperlink"/>
    <w:basedOn w:val="Fuentedeprrafopredeter"/>
    <w:uiPriority w:val="99"/>
    <w:unhideWhenUsed/>
    <w:rsid w:val="00DB676E"/>
    <w:rPr>
      <w:color w:val="0563C1" w:themeColor="hyperlink"/>
      <w:u w:val="single"/>
    </w:rPr>
  </w:style>
  <w:style w:type="character" w:styleId="Mencinsinresolver">
    <w:name w:val="Unresolved Mention"/>
    <w:basedOn w:val="Fuentedeprrafopredeter"/>
    <w:uiPriority w:val="99"/>
    <w:semiHidden/>
    <w:unhideWhenUsed/>
    <w:rsid w:val="00DB676E"/>
    <w:rPr>
      <w:color w:val="605E5C"/>
      <w:shd w:val="clear" w:color="auto" w:fill="E1DFDD"/>
    </w:rPr>
  </w:style>
  <w:style w:type="character" w:styleId="Hipervnculovisitado">
    <w:name w:val="FollowedHyperlink"/>
    <w:basedOn w:val="Fuentedeprrafopredeter"/>
    <w:uiPriority w:val="99"/>
    <w:semiHidden/>
    <w:unhideWhenUsed/>
    <w:rsid w:val="00DB67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xnZxvR"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5.png"/><Relationship Id="rId4" Type="http://schemas.openxmlformats.org/officeDocument/2006/relationships/image" Target="media/image1.jpeg"/><Relationship Id="rId9" Type="http://schemas.openxmlformats.org/officeDocument/2006/relationships/hyperlink" Target="https://bit.ly/2RDLdz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5</Pages>
  <Words>2122</Words>
  <Characters>11673</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Marín Rozas</dc:creator>
  <cp:lastModifiedBy>Valentina  Marín Rozas</cp:lastModifiedBy>
  <cp:revision>18</cp:revision>
  <cp:lastPrinted>2021-06-06T15:03:00Z</cp:lastPrinted>
  <dcterms:created xsi:type="dcterms:W3CDTF">2021-06-04T15:29:00Z</dcterms:created>
  <dcterms:modified xsi:type="dcterms:W3CDTF">2021-06-09T22:21:00Z</dcterms:modified>
</cp:coreProperties>
</file>